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75798FFC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D7602E">
              <w:t>98531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4E6994AC" w:rsidR="00E968DF" w:rsidRPr="001A1333" w:rsidRDefault="00C92010" w:rsidP="00500ED2">
            <w:pPr>
              <w:ind w:left="148"/>
              <w:rPr>
                <w:highlight w:val="yellow"/>
              </w:rPr>
            </w:pPr>
            <w:r w:rsidRPr="00C92010">
              <w:rPr>
                <w:rFonts w:cstheme="minorHAnsi"/>
              </w:rPr>
              <w:t>KRÍSSIA BALBINA FREIRE ALDERETE LEMES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043C631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432F5CDC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C92010">
              <w:rPr>
                <w:b/>
                <w:bCs/>
              </w:rPr>
              <w:t>8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49537D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34E940EE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C92010">
        <w:t>98531-01A</w:t>
      </w:r>
      <w:r w:rsidRPr="00990586">
        <w:t>, e o parecer exarado pel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</w:t>
      </w:r>
      <w:r w:rsidR="006F7B66">
        <w:t>Sandra Queiroz Latta</w:t>
      </w:r>
      <w:r w:rsidRPr="00990586">
        <w:t>, membr</w:t>
      </w:r>
      <w:r w:rsidR="006F7B66">
        <w:t>a</w:t>
      </w:r>
      <w:r w:rsidRPr="00990586">
        <w:t xml:space="preserve"> da Comissão de Exercício Profissional e Relator</w:t>
      </w:r>
      <w:r w:rsidR="006F7B66">
        <w:t>a</w:t>
      </w:r>
      <w:r w:rsidRPr="00990586">
        <w:t xml:space="preserve">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300A2439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Estadual </w:t>
      </w:r>
      <w:r w:rsidR="006F7B66">
        <w:t>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4FBC6E5F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C92010">
        <w:rPr>
          <w:rFonts w:ascii="Times New Roman" w:hAnsi="Times New Roman" w:cs="Times New Roman"/>
          <w:i/>
          <w:iCs/>
        </w:rPr>
        <w:t>98531-01A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7F279C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7F279C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C92010" w:rsidRPr="00C92010">
        <w:rPr>
          <w:rFonts w:ascii="Times New Roman" w:hAnsi="Times New Roman" w:cs="Times New Roman"/>
          <w:i/>
          <w:iCs/>
        </w:rPr>
        <w:t>KRÍSSIA BALBINA FREIRE ALDERETE LEMES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C92010" w:rsidRPr="00C92010">
        <w:rPr>
          <w:rFonts w:ascii="Times New Roman" w:hAnsi="Times New Roman" w:cs="Times New Roman"/>
          <w:i/>
          <w:iCs/>
        </w:rPr>
        <w:t>046.XXX.XXX.41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C92010" w:rsidRPr="00C92010">
        <w:rPr>
          <w:rFonts w:ascii="Times New Roman" w:hAnsi="Times New Roman" w:cs="Times New Roman"/>
          <w:i/>
          <w:iCs/>
        </w:rPr>
        <w:t>A1622110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31B223F3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Resolução </w:t>
      </w:r>
      <w:r w:rsidR="005B7000">
        <w:t xml:space="preserve">CAU/BR n. </w:t>
      </w:r>
      <w:r w:rsidR="005B7000" w:rsidRPr="00A57D19">
        <w:t>198, de 15 de dezembro de 2020</w:t>
      </w:r>
      <w:r w:rsidR="005B7000" w:rsidRPr="00843F3C">
        <w:rPr>
          <w:bCs/>
        </w:rPr>
        <w:t>.</w:t>
      </w:r>
    </w:p>
    <w:p w14:paraId="64329E3E" w14:textId="77777777" w:rsidR="005B7000" w:rsidRDefault="005B7000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2C00DF76" w14:textId="77777777" w:rsidR="005B7000" w:rsidRDefault="005B7000" w:rsidP="001B60F6">
      <w:pPr>
        <w:spacing w:after="120"/>
        <w:rPr>
          <w:sz w:val="14"/>
        </w:rPr>
      </w:pPr>
    </w:p>
    <w:p w14:paraId="1ABD334F" w14:textId="04EDA5DE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Pr="009A4739" w:rsidRDefault="00883F62" w:rsidP="009A4739">
      <w:pPr>
        <w:spacing w:after="120"/>
        <w:jc w:val="both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0E7D9FE6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C92010">
              <w:rPr>
                <w:rFonts w:cs="Calibri"/>
                <w:bCs/>
                <w:bdr w:val="none" w:sz="0" w:space="0" w:color="auto" w:frame="1"/>
                <w:lang w:eastAsia="pt-BR"/>
              </w:rPr>
              <w:t>98531-01A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0717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0878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52E8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000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27F2D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7B6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279C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7F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2010"/>
    <w:rsid w:val="00C97885"/>
    <w:rsid w:val="00CA097A"/>
    <w:rsid w:val="00CA0DBD"/>
    <w:rsid w:val="00CA3166"/>
    <w:rsid w:val="00CC12B5"/>
    <w:rsid w:val="00CC5141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7602E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48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6</cp:revision>
  <cp:lastPrinted>2023-02-24T20:32:00Z</cp:lastPrinted>
  <dcterms:created xsi:type="dcterms:W3CDTF">2024-03-05T18:02:00Z</dcterms:created>
  <dcterms:modified xsi:type="dcterms:W3CDTF">2024-03-06T17:41:00Z</dcterms:modified>
</cp:coreProperties>
</file>